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onsPlusNonformat"/>
        <w:widowControl/>
        <w:jc w:val="center"/>
        <w:rPr>
          <w:rFonts w:ascii="Times New Roman" w:hAnsi="Times New Roman" w:cs="Times New Roman"/>
          <w:b/>
          <w:sz w:val="12"/>
          <w:szCs w:val="12"/>
        </w:rPr>
      </w:pPr>
      <w:r>
        <w:rPr>
          <w:rFonts w:cs="Times New Roman" w:ascii="Times New Roman" w:hAnsi="Times New Roman"/>
          <w:b/>
          <w:sz w:val="12"/>
          <w:szCs w:val="12"/>
        </w:rPr>
      </w:r>
    </w:p>
    <w:p>
      <w:pPr>
        <w:pStyle w:val="ConsPlusNonformat"/>
        <w:widowControl/>
        <w:jc w:val="center"/>
        <w:rPr>
          <w:rFonts w:ascii="Times New Roman" w:hAnsi="Times New Roman" w:cs="Times New Roman"/>
          <w:b/>
          <w:sz w:val="23"/>
          <w:szCs w:val="23"/>
        </w:rPr>
      </w:pPr>
      <w:r>
        <w:rPr>
          <w:rFonts w:cs="Times New Roman" w:ascii="Times New Roman" w:hAnsi="Times New Roman"/>
          <w:b/>
          <w:sz w:val="23"/>
          <w:szCs w:val="23"/>
        </w:rPr>
        <w:t>Сообщение о существенном факте</w:t>
        <w:br/>
        <w:t>«О проведении заседания совета директоров (наблюдательного совета) эмитента и его повестке дня»</w:t>
      </w:r>
    </w:p>
    <w:p>
      <w:pPr>
        <w:pStyle w:val="ConsPlusNonformat"/>
        <w:widowControl/>
        <w:jc w:val="center"/>
        <w:rPr>
          <w:rFonts w:ascii="Times New Roman" w:hAnsi="Times New Roman" w:cs="Times New Roman"/>
          <w:b/>
          <w:sz w:val="12"/>
          <w:szCs w:val="12"/>
        </w:rPr>
      </w:pPr>
      <w:r>
        <w:rPr>
          <w:rFonts w:cs="Times New Roman" w:ascii="Times New Roman" w:hAnsi="Times New Roman"/>
          <w:b/>
          <w:sz w:val="12"/>
          <w:szCs w:val="12"/>
        </w:rPr>
      </w:r>
    </w:p>
    <w:tbl>
      <w:tblPr>
        <w:tblW w:w="10230" w:type="dxa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  <w:tblLook w:noVBand="1" w:val="04a0" w:noHBand="0" w:lastColumn="0" w:firstColumn="1" w:lastRow="0" w:firstRow="1"/>
      </w:tblPr>
      <w:tblGrid>
        <w:gridCol w:w="5556"/>
        <w:gridCol w:w="4673"/>
      </w:tblGrid>
      <w:tr>
        <w:trPr/>
        <w:tc>
          <w:tcPr>
            <w:tcW w:w="10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3"/>
                <w:szCs w:val="23"/>
                <w:highlight w:val="yellow"/>
              </w:rPr>
            </w:pPr>
            <w:r>
              <w:rPr>
                <w:sz w:val="23"/>
                <w:szCs w:val="23"/>
              </w:rPr>
              <w:t>1. Общие сведения</w:t>
            </w:r>
          </w:p>
        </w:tc>
      </w:tr>
      <w:tr>
        <w:trPr>
          <w:trHeight w:val="628" w:hRule="atLeast"/>
        </w:trPr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eastAsia="Calibri" w:eastAsiaTheme="minorHAnsi"/>
                <w:sz w:val="23"/>
                <w:szCs w:val="23"/>
                <w:lang w:eastAsia="en-US"/>
              </w:rPr>
            </w:pPr>
            <w:r>
              <w:rPr>
                <w:rFonts w:eastAsia="Calibri" w:eastAsiaTheme="minorHAnsi"/>
                <w:sz w:val="23"/>
                <w:szCs w:val="23"/>
                <w:lang w:eastAsia="en-US"/>
              </w:rPr>
              <w:t>1.1. Полное фирменное наименование (для коммерческой организации)</w:t>
            </w:r>
          </w:p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sz w:val="23"/>
                <w:szCs w:val="23"/>
                <w:highlight w:val="yellow"/>
              </w:rPr>
            </w:pPr>
            <w:r>
              <w:rPr>
                <w:sz w:val="23"/>
                <w:szCs w:val="23"/>
                <w:highlight w:val="yellow"/>
              </w:rPr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iCs/>
                <w:sz w:val="23"/>
                <w:szCs w:val="23"/>
              </w:rPr>
            </w:pPr>
            <w:r>
              <w:rPr>
                <w:rStyle w:val="SUBST"/>
                <w:sz w:val="23"/>
                <w:szCs w:val="23"/>
              </w:rPr>
              <w:t>Публичное акционерное общество энергетики и электрификации  «Камчатскэнерго»</w:t>
            </w:r>
          </w:p>
        </w:tc>
      </w:tr>
      <w:tr>
        <w:trPr/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eastAsia="Calibri" w:eastAsiaTheme="minorHAnsi"/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</w:rPr>
              <w:t>1.2. </w:t>
            </w:r>
            <w:r>
              <w:rPr>
                <w:rFonts w:eastAsia="Calibri" w:eastAsiaTheme="minorHAnsi"/>
                <w:sz w:val="23"/>
                <w:szCs w:val="23"/>
                <w:lang w:eastAsia="en-US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iCs/>
                <w:sz w:val="23"/>
                <w:szCs w:val="23"/>
              </w:rPr>
            </w:pPr>
            <w:r>
              <w:rPr>
                <w:rStyle w:val="SUBST"/>
                <w:sz w:val="23"/>
                <w:szCs w:val="23"/>
              </w:rPr>
              <w:t xml:space="preserve">683000, Камчатский кр., </w:t>
            </w:r>
          </w:p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iCs/>
                <w:sz w:val="23"/>
                <w:szCs w:val="23"/>
              </w:rPr>
            </w:pPr>
            <w:r>
              <w:rPr>
                <w:rStyle w:val="SUBST"/>
                <w:sz w:val="23"/>
                <w:szCs w:val="23"/>
              </w:rPr>
              <w:t xml:space="preserve">г. Петропавловск-Камчатский, </w:t>
            </w:r>
          </w:p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iCs/>
                <w:sz w:val="23"/>
                <w:szCs w:val="23"/>
              </w:rPr>
            </w:pPr>
            <w:r>
              <w:rPr>
                <w:rStyle w:val="SUBST"/>
                <w:sz w:val="23"/>
                <w:szCs w:val="23"/>
              </w:rPr>
              <w:t>ул. Набережная, д. 10</w:t>
            </w:r>
          </w:p>
        </w:tc>
      </w:tr>
      <w:tr>
        <w:trPr/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rFonts w:eastAsia="Calibri" w:eastAsiaTheme="minorHAnsi"/>
                <w:sz w:val="23"/>
                <w:szCs w:val="23"/>
                <w:lang w:eastAsia="en-US"/>
              </w:rPr>
            </w:pPr>
            <w:r>
              <w:rPr>
                <w:rFonts w:eastAsia="Calibri" w:eastAsiaTheme="minorHAnsi"/>
                <w:sz w:val="23"/>
                <w:szCs w:val="23"/>
                <w:lang w:eastAsia="en-US"/>
              </w:rPr>
              <w:t>1.3. Основной государственный регистрационный номер (ОГРН) эмитента: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b/>
                <w:i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1024101024078</w:t>
            </w:r>
          </w:p>
        </w:tc>
      </w:tr>
      <w:tr>
        <w:trPr/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rFonts w:eastAsia="Calibri" w:eastAsiaTheme="minorHAnsi"/>
                <w:sz w:val="23"/>
                <w:szCs w:val="23"/>
                <w:lang w:eastAsia="en-US"/>
              </w:rPr>
            </w:pPr>
            <w:r>
              <w:rPr>
                <w:rFonts w:eastAsia="Calibri" w:eastAsiaTheme="minorHAnsi"/>
                <w:sz w:val="23"/>
                <w:szCs w:val="23"/>
                <w:lang w:eastAsia="en-US"/>
              </w:rPr>
              <w:t>1.4.  Идентификационный номер налогоплательщика (ИНН) эмитента: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b/>
                <w:i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4100000668</w:t>
            </w:r>
          </w:p>
        </w:tc>
      </w:tr>
      <w:tr>
        <w:trPr/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sz w:val="23"/>
                <w:szCs w:val="23"/>
              </w:rPr>
            </w:pPr>
            <w:r>
              <w:rPr>
                <w:rFonts w:eastAsia="Calibri" w:eastAsiaTheme="minorHAnsi"/>
                <w:sz w:val="23"/>
                <w:szCs w:val="23"/>
                <w:lang w:eastAsia="en-US"/>
              </w:rPr>
              <w:t>1.5. Уникальный код эмитента, присвоенный Банком России: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b/>
                <w:i/>
                <w:i/>
                <w:iCs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00235-A</w:t>
            </w:r>
          </w:p>
        </w:tc>
      </w:tr>
      <w:tr>
        <w:trPr/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sz w:val="23"/>
                <w:szCs w:val="23"/>
              </w:rPr>
            </w:pPr>
            <w:r>
              <w:rPr>
                <w:rFonts w:eastAsia="Calibri" w:eastAsiaTheme="minorHAnsi"/>
                <w:sz w:val="23"/>
                <w:szCs w:val="23"/>
                <w:lang w:eastAsia="en-US"/>
              </w:rPr>
              <w:t>1.6. Адрес страницы в сети «Интернет», используемой эмитентом для раскрытия информации: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b/>
                <w:i/>
                <w:i/>
                <w:sz w:val="23"/>
                <w:szCs w:val="23"/>
              </w:rPr>
            </w:pPr>
            <w:hyperlink r:id="rId2">
              <w:r>
                <w:rPr>
                  <w:rStyle w:val="-"/>
                  <w:b/>
                  <w:i/>
                  <w:sz w:val="23"/>
                  <w:szCs w:val="23"/>
                </w:rPr>
                <w:t>http://www.e-disclosure.ru/portal/company.aspx?id=1409</w:t>
              </w:r>
            </w:hyperlink>
            <w:r>
              <w:rPr>
                <w:b/>
                <w:i/>
                <w:sz w:val="23"/>
                <w:szCs w:val="23"/>
              </w:rPr>
              <w:t xml:space="preserve">, </w:t>
            </w:r>
            <w:hyperlink r:id="rId3">
              <w:r>
                <w:rPr>
                  <w:rStyle w:val="-"/>
                  <w:b/>
                  <w:i/>
                  <w:sz w:val="23"/>
                  <w:szCs w:val="23"/>
                </w:rPr>
                <w:t>http://www.kamenergo.r</w:t>
              </w:r>
              <w:r>
                <w:rPr>
                  <w:rStyle w:val="-"/>
                  <w:b/>
                  <w:i/>
                  <w:sz w:val="23"/>
                  <w:szCs w:val="23"/>
                  <w:lang w:val="en-US"/>
                </w:rPr>
                <w:t>u</w:t>
              </w:r>
            </w:hyperlink>
            <w:r>
              <w:rPr>
                <w:b/>
                <w:i/>
                <w:sz w:val="23"/>
                <w:szCs w:val="23"/>
              </w:rPr>
              <w:t xml:space="preserve">  </w:t>
            </w:r>
          </w:p>
        </w:tc>
      </w:tr>
      <w:tr>
        <w:trPr/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Calibri" w:eastAsiaTheme="minorHAnsi"/>
                <w:sz w:val="23"/>
                <w:szCs w:val="23"/>
                <w:shd w:fill="auto" w:val="clear"/>
                <w:lang w:eastAsia="en-US"/>
              </w:rPr>
              <w:t>1.7. Дата наступления события (существенного факта), о котором составлено сообщение: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right="85" w:hanging="0"/>
              <w:jc w:val="both"/>
              <w:rPr>
                <w:highlight w:val="none"/>
                <w:shd w:fill="auto" w:val="clear"/>
              </w:rPr>
            </w:pPr>
            <w:r>
              <w:rPr>
                <w:b/>
                <w:i/>
                <w:sz w:val="23"/>
                <w:szCs w:val="23"/>
                <w:shd w:fill="auto" w:val="clear"/>
              </w:rPr>
              <w:t>14.04.2026</w:t>
            </w:r>
          </w:p>
        </w:tc>
      </w:tr>
    </w:tbl>
    <w:p>
      <w:pPr>
        <w:pStyle w:val="Style24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2. Содержание сообщения</w:t>
      </w:r>
    </w:p>
    <w:p>
      <w:pPr>
        <w:pStyle w:val="Normal"/>
        <w:tabs>
          <w:tab w:val="clear" w:pos="708"/>
          <w:tab w:val="left" w:pos="567" w:leader="none"/>
        </w:tabs>
        <w:jc w:val="both"/>
        <w:rPr>
          <w:b/>
          <w:bCs/>
          <w:i/>
          <w:i/>
          <w:sz w:val="12"/>
          <w:szCs w:val="12"/>
        </w:rPr>
      </w:pPr>
      <w:r>
        <w:rPr>
          <w:b/>
          <w:bCs/>
          <w:i/>
          <w:sz w:val="12"/>
          <w:szCs w:val="12"/>
        </w:rPr>
      </w:r>
    </w:p>
    <w:p>
      <w:pPr>
        <w:pStyle w:val="Normal"/>
        <w:tabs>
          <w:tab w:val="clear" w:pos="708"/>
          <w:tab w:val="left" w:pos="567" w:leader="none"/>
        </w:tabs>
        <w:jc w:val="both"/>
        <w:rPr>
          <w:b/>
          <w:bCs/>
          <w:i/>
          <w:i/>
          <w:sz w:val="24"/>
          <w:szCs w:val="24"/>
        </w:rPr>
      </w:pPr>
      <w:r>
        <w:rPr>
          <w:spacing w:val="-12"/>
          <w:sz w:val="24"/>
          <w:szCs w:val="24"/>
        </w:rPr>
        <w:t xml:space="preserve">2.1. </w:t>
      </w:r>
      <w:r>
        <w:rPr>
          <w:sz w:val="24"/>
          <w:szCs w:val="24"/>
        </w:rPr>
        <w:t xml:space="preserve">Дата принятия председателем совета директоров (наблюдательного совета) эмитента: </w:t>
      </w:r>
      <w:r>
        <w:rPr>
          <w:sz w:val="24"/>
          <w:szCs w:val="24"/>
        </w:rPr>
        <w:t>14.04</w:t>
      </w:r>
      <w:r>
        <w:rPr>
          <w:rFonts w:eastAsia="Times New Roman" w:cs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ru-RU" w:eastAsia="ru-RU" w:bidi="ar-SA"/>
        </w:rPr>
        <w:t>.2026.</w:t>
      </w:r>
    </w:p>
    <w:p>
      <w:pPr>
        <w:pStyle w:val="Normal"/>
        <w:widowControl w:val="false"/>
        <w:tabs>
          <w:tab w:val="left" w:pos="708" w:leader="none"/>
        </w:tabs>
        <w:spacing w:before="0" w:after="0"/>
        <w:contextualSpacing/>
        <w:jc w:val="both"/>
        <w:rPr>
          <w:rFonts w:ascii="Times New Roman" w:hAnsi="Times New Roman" w:eastAsia="Times New Roman" w:cs="Times New Roman"/>
          <w:b/>
          <w:bCs/>
          <w:i/>
          <w:i/>
          <w:iCs/>
          <w:color w:val="auto"/>
          <w:kern w:val="0"/>
          <w:sz w:val="12"/>
          <w:szCs w:val="12"/>
          <w:lang w:val="ru-RU" w:eastAsia="ru-RU" w:bidi="ar-SA"/>
        </w:rPr>
      </w:pPr>
      <w:r>
        <w:rPr>
          <w:rFonts w:eastAsia="Times New Roman" w:cs="Times New Roman"/>
          <w:b/>
          <w:bCs/>
          <w:i/>
          <w:iCs/>
          <w:color w:val="auto"/>
          <w:kern w:val="0"/>
          <w:sz w:val="12"/>
          <w:szCs w:val="12"/>
          <w:lang w:val="ru-RU" w:eastAsia="ru-RU" w:bidi="ar-SA"/>
        </w:rPr>
      </w:r>
    </w:p>
    <w:p>
      <w:pPr>
        <w:pStyle w:val="Style24"/>
        <w:rPr>
          <w:b/>
          <w:bCs/>
          <w:i/>
          <w:i/>
        </w:rPr>
      </w:pPr>
      <w:r>
        <w:rPr/>
        <w:t>2.2. Дата проведения заседания совета директоров (наблюдательного совета) эмитента:</w:t>
      </w:r>
      <w:r>
        <w:rPr>
          <w:b/>
          <w:bCs/>
        </w:rPr>
        <w:t xml:space="preserve"> </w:t>
      </w:r>
      <w:r>
        <w:rPr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14.04.2026.</w:t>
      </w:r>
    </w:p>
    <w:p>
      <w:pPr>
        <w:pStyle w:val="Style24"/>
        <w:rPr>
          <w:rFonts w:ascii="Times New Roman" w:hAnsi="Times New Roman" w:eastAsia="Times New Roman" w:cs="Times New Roman"/>
          <w:b/>
          <w:bCs/>
          <w:i/>
          <w:i/>
          <w:iCs/>
          <w:color w:val="auto"/>
          <w:kern w:val="0"/>
          <w:sz w:val="12"/>
          <w:szCs w:val="12"/>
          <w:lang w:val="ru-RU" w:eastAsia="ru-RU" w:bidi="ar-SA"/>
        </w:rPr>
      </w:pPr>
      <w:r>
        <w:rPr>
          <w:rFonts w:eastAsia="Times New Roman" w:cs="Times New Roman"/>
          <w:b/>
          <w:bCs/>
          <w:i/>
          <w:iCs/>
          <w:color w:val="auto"/>
          <w:kern w:val="0"/>
          <w:sz w:val="12"/>
          <w:szCs w:val="12"/>
          <w:lang w:val="ru-RU" w:eastAsia="ru-RU" w:bidi="ar-SA"/>
        </w:rPr>
      </w:r>
    </w:p>
    <w:p>
      <w:pPr>
        <w:pStyle w:val="ListParagraph"/>
        <w:numPr>
          <w:ilvl w:val="1"/>
          <w:numId w:val="2"/>
        </w:numPr>
        <w:tabs>
          <w:tab w:val="left" w:pos="708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Повестка дня заседания совета директоров (наблюдательного совета) эмитента:</w:t>
      </w:r>
    </w:p>
    <w:p>
      <w:pPr>
        <w:pStyle w:val="Normal"/>
        <w:spacing w:before="0" w:after="57"/>
        <w:jc w:val="both"/>
        <w:rPr>
          <w:sz w:val="8"/>
          <w:szCs w:val="8"/>
        </w:rPr>
      </w:pPr>
      <w:r>
        <w:rPr>
          <w:sz w:val="8"/>
          <w:szCs w:val="8"/>
        </w:rPr>
      </w:r>
    </w:p>
    <w:p>
      <w:pPr>
        <w:pStyle w:val="Normal"/>
        <w:jc w:val="both"/>
        <w:rPr>
          <w:rFonts w:ascii="Times New Roman" w:hAnsi="Times New Roman" w:eastAsia="Times New Roman" w:cs="Times New Roman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1. Об утверждении отчета об исполнении бизнес – плана ПАО «Камчатскэнерго» за 2025 год.</w:t>
      </w:r>
    </w:p>
    <w:p>
      <w:pPr>
        <w:pStyle w:val="Normal"/>
        <w:jc w:val="both"/>
        <w:rPr>
          <w:rFonts w:ascii="Times New Roman" w:hAnsi="Times New Roman" w:eastAsia="Times New Roman" w:cs="Times New Roman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2. Об отмене ранее принятого решения Совета директоров ПАО «Камчатскэнерго».</w:t>
      </w:r>
    </w:p>
    <w:p>
      <w:pPr>
        <w:pStyle w:val="Normal"/>
        <w:jc w:val="both"/>
        <w:rPr>
          <w:rFonts w:ascii="Times New Roman" w:hAnsi="Times New Roman" w:eastAsia="Times New Roman" w:cs="Times New Roman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3. Об определении позиции ПАО «Камчатскэнерго» (представителей ПАО «Камчатскэнерго») по вопросу об определении повестки дня очередного заочного голосования для принятия решений Общим собранием участников Дочернего общества ПАО «Камчатскэнерго» - ООО «Геотермальная энергетика».</w:t>
      </w:r>
    </w:p>
    <w:p>
      <w:pPr>
        <w:pStyle w:val="Normal"/>
        <w:jc w:val="both"/>
        <w:rPr>
          <w:rFonts w:ascii="Times New Roman" w:hAnsi="Times New Roman" w:eastAsia="Times New Roman" w:cs="Times New Roman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4. О согласии на заключение сделки, в совершении которой имеется заинтересованность, - заключение Договора подряда между ПАО «Камчатскэнерго» и АО «ХРМК».</w:t>
      </w:r>
    </w:p>
    <w:p>
      <w:pPr>
        <w:pStyle w:val="Normal"/>
        <w:jc w:val="both"/>
        <w:rPr>
          <w:rFonts w:ascii="Times New Roman" w:hAnsi="Times New Roman" w:eastAsia="Times New Roman" w:cs="Times New Roman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5. Об одобрении заключения Договора о передаче объектов электросетевого хозяйства в безвозмездное владение и пользование между ПАО «Камчатскэнерго» и Администрацией Пионерского сельского поселения, являющегося сделкой, предметом которой является имущество, составляющее основные средства, целью использования которых производство, передача и (или) распределение электрической энергии.</w:t>
      </w:r>
    </w:p>
    <w:p>
      <w:pPr>
        <w:pStyle w:val="Normal"/>
        <w:jc w:val="center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jc w:val="center"/>
        <w:rPr>
          <w:sz w:val="22"/>
          <w:szCs w:val="22"/>
        </w:rPr>
      </w:pPr>
      <w:r>
        <w:rPr>
          <w:b/>
          <w:sz w:val="22"/>
          <w:szCs w:val="22"/>
        </w:rPr>
        <w:t>3.</w:t>
        <w:tab/>
        <w:t>Подпись.</w:t>
      </w:r>
    </w:p>
    <w:p>
      <w:pPr>
        <w:pStyle w:val="ConsPlusNonformat"/>
        <w:ind w:left="0" w:right="0" w:hanging="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3.1. Наименование </w:t>
      </w:r>
    </w:p>
    <w:p>
      <w:pPr>
        <w:pStyle w:val="ConsPlusNonformat"/>
        <w:ind w:left="0" w:right="0" w:hanging="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должности уполномоченного лица эмитента</w:t>
      </w:r>
    </w:p>
    <w:p>
      <w:pPr>
        <w:pStyle w:val="Normal"/>
        <w:widowControl w:val="false"/>
        <w:ind w:left="0" w:right="0" w:firstLine="6"/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widowControl w:val="false"/>
        <w:ind w:left="0" w:right="0" w:firstLine="6"/>
        <w:jc w:val="both"/>
        <w:rPr/>
      </w:pPr>
      <w:r>
        <w:rPr>
          <w:sz w:val="24"/>
          <w:szCs w:val="24"/>
        </w:rPr>
        <w:t xml:space="preserve">Начальник </w:t>
      </w:r>
    </w:p>
    <w:p>
      <w:pPr>
        <w:pStyle w:val="Normal"/>
        <w:widowControl w:val="false"/>
        <w:ind w:left="0" w:right="0" w:firstLine="6"/>
        <w:jc w:val="both"/>
        <w:rPr/>
      </w:pPr>
      <w:r>
        <w:rPr>
          <w:sz w:val="24"/>
          <w:szCs w:val="24"/>
        </w:rPr>
        <w:t xml:space="preserve">Управления корпоративной работы </w:t>
      </w:r>
    </w:p>
    <w:p>
      <w:pPr>
        <w:pStyle w:val="Normal"/>
        <w:widowControl w:val="false"/>
        <w:ind w:left="0" w:right="0" w:firstLine="6"/>
        <w:jc w:val="both"/>
        <w:rPr/>
      </w:pPr>
      <w:r>
        <w:rPr>
          <w:sz w:val="24"/>
          <w:szCs w:val="24"/>
        </w:rPr>
        <w:t>и имущественных отношений ПАО «Камчатскэнерго»</w:t>
        <w:tab/>
        <w:tab/>
        <w:tab/>
        <w:tab/>
        <w:t xml:space="preserve">         К.С. Живодуева</w:t>
      </w:r>
    </w:p>
    <w:p>
      <w:pPr>
        <w:pStyle w:val="Normal"/>
        <w:widowControl w:val="false"/>
        <w:ind w:left="0" w:right="0" w:firstLine="6"/>
        <w:jc w:val="both"/>
        <w:rPr/>
      </w:pPr>
      <w:r>
        <w:rPr>
          <w:sz w:val="24"/>
          <w:szCs w:val="24"/>
        </w:rPr>
        <w:t>(по доверенности от 12.03.2026 № КЭ-18-18-26/323Д)</w:t>
      </w:r>
    </w:p>
    <w:p>
      <w:pPr>
        <w:pStyle w:val="Normal"/>
        <w:widowControl w:val="false"/>
        <w:ind w:left="0" w:right="0" w:hanging="0"/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widowControl w:val="false"/>
        <w:ind w:left="0" w:right="0" w:hanging="0"/>
        <w:jc w:val="both"/>
        <w:rPr/>
      </w:pPr>
      <w:r>
        <w:rPr>
          <w:sz w:val="24"/>
          <w:szCs w:val="24"/>
        </w:rPr>
        <w:t>3.2. Дата.</w:t>
      </w:r>
    </w:p>
    <w:p>
      <w:pPr>
        <w:pStyle w:val="Normal"/>
        <w:widowControl w:val="false"/>
        <w:ind w:left="0" w:right="0" w:firstLine="6"/>
        <w:jc w:val="both"/>
        <w:rPr/>
      </w:pPr>
      <w:r>
        <w:rPr>
          <w:rStyle w:val="Strong"/>
          <w:rFonts w:eastAsia="Symbol" w:cs="Times New Roman"/>
          <w:b w:val="false"/>
          <w:color w:val="000000"/>
          <w:shd w:fill="auto" w:val="clear"/>
        </w:rPr>
        <w:t>«</w:t>
      </w:r>
      <w:r>
        <w:rPr>
          <w:rStyle w:val="Strong"/>
          <w:rFonts w:eastAsia="Symbol" w:cs="Times New Roman"/>
          <w:b w:val="false"/>
          <w:color w:val="000000"/>
          <w:shd w:fill="auto" w:val="clear"/>
        </w:rPr>
        <w:t>14</w:t>
      </w:r>
      <w:r>
        <w:rPr>
          <w:rStyle w:val="Strong"/>
          <w:rFonts w:eastAsia="Symbol" w:cs="Times New Roman"/>
          <w:b w:val="false"/>
          <w:color w:val="000000"/>
          <w:shd w:fill="auto" w:val="clear"/>
        </w:rPr>
        <w:t xml:space="preserve">» </w:t>
      </w:r>
      <w:r>
        <w:rPr>
          <w:rStyle w:val="Strong"/>
          <w:rFonts w:eastAsia="Symbol" w:cs="Times New Roman"/>
          <w:b w:val="false"/>
          <w:color w:val="000000"/>
          <w:shd w:fill="auto" w:val="clear"/>
        </w:rPr>
        <w:t>апреля</w:t>
      </w:r>
      <w:r>
        <w:rPr>
          <w:rStyle w:val="Strong"/>
          <w:rFonts w:eastAsia="Symbol" w:cs="Times New Roman"/>
          <w:b w:val="false"/>
          <w:color w:val="000000"/>
          <w:shd w:fill="auto" w:val="clear"/>
        </w:rPr>
        <w:t xml:space="preserve"> 2026 г.</w:t>
      </w:r>
    </w:p>
    <w:sectPr>
      <w:type w:val="nextPage"/>
      <w:pgSz w:w="11906" w:h="16838"/>
      <w:pgMar w:left="1077" w:right="851" w:gutter="0" w:header="0" w:top="426" w:footer="0" w:bottom="703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Cambria">
    <w:charset w:val="01"/>
    <w:family w:val="roman"/>
    <w:pitch w:val="default"/>
  </w:font>
  <w:font w:name="Segoe UI">
    <w:charset w:val="01"/>
    <w:family w:val="roman"/>
    <w:pitch w:val="default"/>
  </w:font>
  <w:font w:name="PT Astra Serif">
    <w:charset w:val="01"/>
    <w:family w:val="roman"/>
    <w:pitch w:val="default"/>
  </w:font>
  <w:font w:name="Courier New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3"/>
      <w:numFmt w:val="decimal"/>
      <w:lvlText w:val="%1.%2."/>
      <w:lvlJc w:val="left"/>
      <w:pPr>
        <w:tabs>
          <w:tab w:val="num" w:pos="0"/>
        </w:tabs>
        <w:ind w:left="360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0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uiPriority="0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c7d11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1">
    <w:name w:val="Heading 1"/>
    <w:basedOn w:val="Normal"/>
    <w:next w:val="Normal"/>
    <w:link w:val="11"/>
    <w:uiPriority w:val="9"/>
    <w:qFormat/>
    <w:rsid w:val="009856d5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Normal"/>
    <w:next w:val="Normal"/>
    <w:link w:val="21"/>
    <w:uiPriority w:val="99"/>
    <w:semiHidden/>
    <w:unhideWhenUsed/>
    <w:qFormat/>
    <w:rsid w:val="00dc7d11"/>
    <w:pPr>
      <w:keepNext w:val="true"/>
      <w:outlineLvl w:val="1"/>
    </w:pPr>
    <w:rPr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21" w:customStyle="1">
    <w:name w:val="Заголовок 2 Знак"/>
    <w:basedOn w:val="DefaultParagraphFont"/>
    <w:uiPriority w:val="99"/>
    <w:semiHidden/>
    <w:qFormat/>
    <w:rsid w:val="00dc7d11"/>
    <w:rPr>
      <w:rFonts w:ascii="Times New Roman" w:hAnsi="Times New Roman" w:eastAsia="Times New Roman" w:cs="Times New Roman"/>
      <w:sz w:val="26"/>
      <w:szCs w:val="26"/>
      <w:lang w:eastAsia="ru-RU"/>
    </w:rPr>
  </w:style>
  <w:style w:type="character" w:styleId="-">
    <w:name w:val="Hyperlink"/>
    <w:basedOn w:val="DefaultParagraphFont"/>
    <w:uiPriority w:val="99"/>
    <w:unhideWhenUsed/>
    <w:rsid w:val="00dc7d11"/>
    <w:rPr>
      <w:rFonts w:ascii="Times New Roman" w:hAnsi="Times New Roman" w:cs="Times New Roman"/>
      <w:color w:val="000000"/>
      <w:u w:val="single"/>
    </w:rPr>
  </w:style>
  <w:style w:type="character" w:styleId="Style12" w:customStyle="1">
    <w:name w:val="Основной текст с отступом Знак"/>
    <w:basedOn w:val="DefaultParagraphFont"/>
    <w:uiPriority w:val="99"/>
    <w:qFormat/>
    <w:rsid w:val="00dc7d11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UBST" w:customStyle="1">
    <w:name w:val="__SUBST"/>
    <w:uiPriority w:val="99"/>
    <w:qFormat/>
    <w:rsid w:val="00dc7d11"/>
    <w:rPr>
      <w:b/>
      <w:bCs w:val="false"/>
      <w:i/>
      <w:iCs w:val="false"/>
      <w:sz w:val="22"/>
    </w:rPr>
  </w:style>
  <w:style w:type="character" w:styleId="22" w:customStyle="1">
    <w:name w:val="Основной текст 2 Знак"/>
    <w:basedOn w:val="DefaultParagraphFont"/>
    <w:link w:val="BodyText2"/>
    <w:uiPriority w:val="99"/>
    <w:qFormat/>
    <w:rsid w:val="00fa1962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23" w:customStyle="1">
    <w:name w:val="Основной текст с отступом 2 Знак"/>
    <w:basedOn w:val="DefaultParagraphFont"/>
    <w:link w:val="BodyTextIndent2"/>
    <w:uiPriority w:val="99"/>
    <w:semiHidden/>
    <w:qFormat/>
    <w:rsid w:val="00fa1962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3" w:customStyle="1">
    <w:name w:val="Заголовок Знак"/>
    <w:basedOn w:val="DefaultParagraphFont"/>
    <w:qFormat/>
    <w:rsid w:val="003460c0"/>
    <w:rPr>
      <w:rFonts w:ascii="Times New Roman" w:hAnsi="Times New Roman" w:eastAsia="Times New Roman" w:cs="Times New Roman"/>
      <w:sz w:val="28"/>
      <w:szCs w:val="24"/>
      <w:lang w:val="x-none" w:eastAsia="x-none"/>
    </w:rPr>
  </w:style>
  <w:style w:type="character" w:styleId="Style14" w:customStyle="1">
    <w:name w:val="Основной текст_"/>
    <w:link w:val="13"/>
    <w:qFormat/>
    <w:rsid w:val="003f62d0"/>
    <w:rPr>
      <w:sz w:val="23"/>
      <w:szCs w:val="23"/>
      <w:shd w:fill="FFFFFF" w:val="clear"/>
    </w:rPr>
  </w:style>
  <w:style w:type="character" w:styleId="Style15" w:customStyle="1">
    <w:name w:val="Основной текст Знак"/>
    <w:basedOn w:val="DefaultParagraphFont"/>
    <w:uiPriority w:val="99"/>
    <w:qFormat/>
    <w:rsid w:val="00f26104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1" w:customStyle="1">
    <w:name w:val="Заголовок 1 Знак"/>
    <w:basedOn w:val="DefaultParagraphFont"/>
    <w:uiPriority w:val="9"/>
    <w:qFormat/>
    <w:rsid w:val="009856d5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  <w:lang w:eastAsia="ru-RU"/>
    </w:rPr>
  </w:style>
  <w:style w:type="character" w:styleId="Style16">
    <w:name w:val="FollowedHyperlink"/>
    <w:rsid w:val="003e4beb"/>
    <w:rPr>
      <w:color w:val="800080"/>
      <w:u w:val="single"/>
    </w:rPr>
  </w:style>
  <w:style w:type="character" w:styleId="Style17" w:customStyle="1">
    <w:name w:val="Текст выноски Знак"/>
    <w:basedOn w:val="DefaultParagraphFont"/>
    <w:link w:val="BalloonText"/>
    <w:uiPriority w:val="99"/>
    <w:semiHidden/>
    <w:qFormat/>
    <w:rsid w:val="0008311e"/>
    <w:rPr>
      <w:rFonts w:ascii="Segoe UI" w:hAnsi="Segoe UI" w:eastAsia="Times New Roman" w:cs="Segoe UI"/>
      <w:sz w:val="18"/>
      <w:szCs w:val="18"/>
      <w:lang w:eastAsia="ru-RU"/>
    </w:rPr>
  </w:style>
  <w:style w:type="character" w:styleId="Style18" w:customStyle="1">
    <w:name w:val="Абзац списка Знак"/>
    <w:link w:val="ListParagraph"/>
    <w:uiPriority w:val="34"/>
    <w:qFormat/>
    <w:locked/>
    <w:rsid w:val="006d3e57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rong">
    <w:name w:val="Strong"/>
    <w:basedOn w:val="DefaultParagraphFont"/>
    <w:qFormat/>
    <w:rPr>
      <w:rFonts w:eastAsia="Times New Roman" w:cs="Times New Roman"/>
      <w:b/>
      <w:bCs/>
      <w:color w:val="000000"/>
      <w:sz w:val="24"/>
      <w:szCs w:val="24"/>
    </w:rPr>
  </w:style>
  <w:style w:type="paragraph" w:styleId="Style19">
    <w:name w:val="Заголовок"/>
    <w:basedOn w:val="Normal"/>
    <w:next w:val="Style20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20">
    <w:name w:val="Body Text"/>
    <w:basedOn w:val="Normal"/>
    <w:link w:val="Style15"/>
    <w:uiPriority w:val="99"/>
    <w:unhideWhenUsed/>
    <w:rsid w:val="00f26104"/>
    <w:pPr>
      <w:spacing w:before="0" w:after="120"/>
    </w:pPr>
    <w:rPr/>
  </w:style>
  <w:style w:type="paragraph" w:styleId="Style21">
    <w:name w:val="List"/>
    <w:basedOn w:val="Style20"/>
    <w:pPr/>
    <w:rPr>
      <w:rFonts w:ascii="PT Astra Serif" w:hAnsi="PT Astra Serif" w:cs="Noto Sans Devanagari"/>
    </w:rPr>
  </w:style>
  <w:style w:type="paragraph" w:styleId="Style22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3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24">
    <w:name w:val="Body Text Indent"/>
    <w:basedOn w:val="Normal"/>
    <w:link w:val="Style12"/>
    <w:uiPriority w:val="99"/>
    <w:unhideWhenUsed/>
    <w:rsid w:val="00dc7d11"/>
    <w:pPr>
      <w:jc w:val="both"/>
    </w:pPr>
    <w:rPr>
      <w:sz w:val="24"/>
      <w:szCs w:val="24"/>
    </w:rPr>
  </w:style>
  <w:style w:type="paragraph" w:styleId="ConsPlusNonformat" w:customStyle="1">
    <w:name w:val="ConsPlusNonformat"/>
    <w:uiPriority w:val="99"/>
    <w:qFormat/>
    <w:rsid w:val="00dc7d11"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12" w:customStyle="1">
    <w:name w:val="Абзац списка1"/>
    <w:basedOn w:val="Normal"/>
    <w:qFormat/>
    <w:rsid w:val="00dc7d11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</w:rPr>
  </w:style>
  <w:style w:type="paragraph" w:styleId="BodyText2">
    <w:name w:val="Body Text 2"/>
    <w:basedOn w:val="Normal"/>
    <w:link w:val="22"/>
    <w:uiPriority w:val="99"/>
    <w:unhideWhenUsed/>
    <w:qFormat/>
    <w:rsid w:val="00fa1962"/>
    <w:pPr>
      <w:spacing w:lineRule="auto" w:line="480" w:before="0" w:after="120"/>
    </w:pPr>
    <w:rPr/>
  </w:style>
  <w:style w:type="paragraph" w:styleId="BodyTextIndent2">
    <w:name w:val="Body Text Indent 2"/>
    <w:basedOn w:val="Normal"/>
    <w:link w:val="23"/>
    <w:uiPriority w:val="99"/>
    <w:semiHidden/>
    <w:unhideWhenUsed/>
    <w:qFormat/>
    <w:rsid w:val="00fa1962"/>
    <w:pPr>
      <w:spacing w:lineRule="auto" w:line="480" w:before="0" w:after="120"/>
      <w:ind w:left="283" w:hanging="0"/>
    </w:pPr>
    <w:rPr/>
  </w:style>
  <w:style w:type="paragraph" w:styleId="ListParagraph">
    <w:name w:val="List Paragraph"/>
    <w:basedOn w:val="Normal"/>
    <w:link w:val="Style18"/>
    <w:uiPriority w:val="34"/>
    <w:qFormat/>
    <w:rsid w:val="00fa1962"/>
    <w:pPr>
      <w:spacing w:before="0" w:after="0"/>
      <w:ind w:left="720" w:hanging="0"/>
      <w:contextualSpacing/>
    </w:pPr>
    <w:rPr/>
  </w:style>
  <w:style w:type="paragraph" w:styleId="Style25">
    <w:name w:val="Title"/>
    <w:basedOn w:val="Normal"/>
    <w:link w:val="Style13"/>
    <w:qFormat/>
    <w:rsid w:val="003460c0"/>
    <w:pPr>
      <w:jc w:val="center"/>
    </w:pPr>
    <w:rPr>
      <w:sz w:val="28"/>
      <w:szCs w:val="24"/>
      <w:lang w:val="x-none" w:eastAsia="x-none"/>
    </w:rPr>
  </w:style>
  <w:style w:type="paragraph" w:styleId="13" w:customStyle="1">
    <w:name w:val="Основной текст1"/>
    <w:basedOn w:val="Normal"/>
    <w:link w:val="Style14"/>
    <w:qFormat/>
    <w:rsid w:val="003f62d0"/>
    <w:pPr>
      <w:widowControl w:val="false"/>
      <w:shd w:val="clear" w:color="auto" w:fill="FFFFFF"/>
      <w:spacing w:lineRule="exact" w:line="277" w:before="240" w:after="0"/>
      <w:ind w:hanging="360"/>
      <w:jc w:val="both"/>
    </w:pPr>
    <w:rPr>
      <w:rFonts w:ascii="Calibri" w:hAnsi="Calibri" w:eastAsia="Calibri" w:cs="" w:asciiTheme="minorHAnsi" w:cstheme="minorBidi" w:eastAsiaTheme="minorHAnsi" w:hAnsiTheme="minorHAnsi"/>
      <w:sz w:val="23"/>
      <w:szCs w:val="23"/>
      <w:lang w:eastAsia="en-US"/>
    </w:rPr>
  </w:style>
  <w:style w:type="paragraph" w:styleId="211" w:customStyle="1">
    <w:name w:val="Основной текст 21"/>
    <w:basedOn w:val="Normal"/>
    <w:qFormat/>
    <w:rsid w:val="006c62bb"/>
    <w:pPr>
      <w:suppressAutoHyphens w:val="true"/>
    </w:pPr>
    <w:rPr>
      <w:sz w:val="24"/>
      <w:szCs w:val="24"/>
      <w:lang w:val="x-none" w:eastAsia="ar-SA"/>
    </w:rPr>
  </w:style>
  <w:style w:type="paragraph" w:styleId="ConsPlusNormal" w:customStyle="1">
    <w:name w:val="ConsPlusNormal"/>
    <w:qFormat/>
    <w:rsid w:val="00230407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24" w:customStyle="1">
    <w:name w:val="Абзац списка2"/>
    <w:basedOn w:val="Normal"/>
    <w:qFormat/>
    <w:rsid w:val="0077708b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</w:rPr>
  </w:style>
  <w:style w:type="paragraph" w:styleId="3" w:customStyle="1">
    <w:name w:val="Абзац списка3"/>
    <w:basedOn w:val="Normal"/>
    <w:qFormat/>
    <w:rsid w:val="00e42599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</w:rPr>
  </w:style>
  <w:style w:type="paragraph" w:styleId="ListNumber">
    <w:name w:val="List Number"/>
    <w:basedOn w:val="Normal"/>
    <w:qFormat/>
    <w:rsid w:val="00e42599"/>
    <w:pPr>
      <w:numPr>
        <w:ilvl w:val="0"/>
        <w:numId w:val="1"/>
      </w:numPr>
      <w:spacing w:before="0" w:after="0"/>
      <w:contextualSpacing/>
    </w:pPr>
    <w:rPr>
      <w:sz w:val="24"/>
      <w:szCs w:val="24"/>
    </w:rPr>
  </w:style>
  <w:style w:type="paragraph" w:styleId="4" w:customStyle="1">
    <w:name w:val="Абзац списка4"/>
    <w:basedOn w:val="Normal"/>
    <w:qFormat/>
    <w:rsid w:val="003d462c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</w:rPr>
  </w:style>
  <w:style w:type="paragraph" w:styleId="Msolistparagraph" w:customStyle="1">
    <w:name w:val="msolistparagraph"/>
    <w:basedOn w:val="Normal"/>
    <w:qFormat/>
    <w:rsid w:val="00de2601"/>
    <w:pPr>
      <w:spacing w:before="0" w:after="0"/>
      <w:ind w:left="720" w:hanging="0"/>
      <w:contextualSpacing/>
    </w:pPr>
    <w:rPr>
      <w:color w:val="000000"/>
      <w:sz w:val="28"/>
    </w:rPr>
  </w:style>
  <w:style w:type="paragraph" w:styleId="BalloonText">
    <w:name w:val="Balloon Text"/>
    <w:basedOn w:val="Normal"/>
    <w:link w:val="Style17"/>
    <w:uiPriority w:val="99"/>
    <w:semiHidden/>
    <w:unhideWhenUsed/>
    <w:qFormat/>
    <w:rsid w:val="0008311e"/>
    <w:pPr/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2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e-disclosure.ru/portal/company.aspx?id=1409" TargetMode="External"/><Relationship Id="rId3" Type="http://schemas.openxmlformats.org/officeDocument/2006/relationships/hyperlink" Target="http://www.kamenergo.ru/" TargetMode="Externa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Application>LibreOffice/7.5.6.2$Linux_X86_64 LibreOffice_project/50$Build-2</Application>
  <AppVersion>15.0000</AppVersion>
  <Pages>1</Pages>
  <Words>280</Words>
  <Characters>2185</Characters>
  <CharactersWithSpaces>2451</CharactersWithSpaces>
  <Paragraphs>36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2024-07-10T02:13:00Z</dcterms:created>
  <dc:creator>Фегер Евгения Сергеевна</dc:creator>
  <dc:description/>
  <dc:language>ru-RU</dc:language>
  <cp:lastModifiedBy/>
  <cp:lastPrinted>2026-04-14T15:11:37Z</cp:lastPrinted>
  <dcterms:modified xsi:type="dcterms:W3CDTF">2026-04-14T15:12:00Z</dcterms:modified>
  <cp:revision>49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